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66" w:rsidRPr="007401B6" w:rsidRDefault="00532166" w:rsidP="0053216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>KHAGNE  2016-17</w:t>
      </w:r>
    </w:p>
    <w:p w:rsidR="00532166" w:rsidRPr="007401B6" w:rsidRDefault="00532166" w:rsidP="0053216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>Lycée La Bruyère - Versailles</w:t>
      </w:r>
    </w:p>
    <w:p w:rsidR="00532166" w:rsidRPr="007401B6" w:rsidRDefault="00532166" w:rsidP="0053216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 xml:space="preserve">Russe LVA - Mme FAVRE  </w:t>
      </w:r>
    </w:p>
    <w:p w:rsidR="00532166" w:rsidRPr="007401B6" w:rsidRDefault="00532166" w:rsidP="00532166">
      <w:pPr>
        <w:spacing w:after="0" w:line="240" w:lineRule="auto"/>
        <w:contextualSpacing/>
        <w:jc w:val="both"/>
        <w:rPr>
          <w:rFonts w:ascii="Baskerville" w:hAnsi="Baskerville" w:cs="Baskerville"/>
          <w:b/>
          <w:sz w:val="24"/>
          <w:szCs w:val="24"/>
        </w:rPr>
      </w:pPr>
    </w:p>
    <w:p w:rsidR="00532166" w:rsidRPr="005F0B3E" w:rsidRDefault="00532166" w:rsidP="00532166">
      <w:pPr>
        <w:spacing w:after="0" w:line="240" w:lineRule="auto"/>
        <w:jc w:val="both"/>
        <w:rPr>
          <w:rFonts w:ascii="Baskerville" w:hAnsi="Baskerville" w:cs="Baskerville"/>
          <w:b/>
          <w:i/>
          <w:sz w:val="20"/>
          <w:szCs w:val="20"/>
        </w:rPr>
      </w:pPr>
      <w:r w:rsidRPr="005F0B3E">
        <w:rPr>
          <w:rFonts w:ascii="Baskerville" w:hAnsi="Baskerville" w:cs="Baskerville"/>
          <w:b/>
          <w:i/>
          <w:sz w:val="20"/>
          <w:szCs w:val="20"/>
        </w:rPr>
        <w:t xml:space="preserve">Si vous êtes entrant à La Bruyère, prière d’envoyer dès maintenant un mail au professeur de russe, Mme Favre, à l’adresse : </w:t>
      </w:r>
      <w:r w:rsidR="00073F49" w:rsidRPr="00073F49">
        <w:rPr>
          <w:rFonts w:ascii="Baskerville" w:hAnsi="Baskerville" w:cs="Baskerville"/>
          <w:b/>
          <w:i/>
          <w:sz w:val="20"/>
          <w:szCs w:val="20"/>
        </w:rPr>
        <w:t>russe.favre@free</w:t>
      </w:r>
      <w:r w:rsidR="00073F49">
        <w:rPr>
          <w:rFonts w:ascii="Baskerville" w:hAnsi="Baskerville" w:cs="Baskerville"/>
          <w:b/>
          <w:i/>
          <w:sz w:val="20"/>
          <w:szCs w:val="20"/>
        </w:rPr>
        <w:t>.fr</w:t>
      </w:r>
      <w:r w:rsidRPr="005F0B3E">
        <w:rPr>
          <w:rFonts w:ascii="Baskerville" w:hAnsi="Baskerville" w:cs="Baskerville"/>
          <w:b/>
          <w:i/>
          <w:sz w:val="20"/>
          <w:szCs w:val="20"/>
        </w:rPr>
        <w:t xml:space="preserve"> en précisant vos prépa. et lycée d’origine.</w:t>
      </w:r>
      <w:r w:rsidR="006F348F">
        <w:rPr>
          <w:rFonts w:ascii="Baskerville" w:hAnsi="Baskerville" w:cs="Baskerville"/>
          <w:b/>
          <w:i/>
          <w:sz w:val="20"/>
          <w:szCs w:val="20"/>
        </w:rPr>
        <w:t xml:space="preserve"> Si des documents de travail vous manquent (grammaire, vocabulaire), précisez-le.</w:t>
      </w:r>
    </w:p>
    <w:p w:rsidR="00532166" w:rsidRPr="007401B6" w:rsidRDefault="00532166" w:rsidP="00532166">
      <w:pPr>
        <w:spacing w:after="0" w:line="240" w:lineRule="auto"/>
        <w:jc w:val="both"/>
        <w:rPr>
          <w:rFonts w:ascii="Baskerville" w:hAnsi="Baskerville" w:cs="Baskerville"/>
          <w:b/>
          <w:i/>
          <w:sz w:val="24"/>
          <w:szCs w:val="24"/>
        </w:rPr>
      </w:pPr>
    </w:p>
    <w:p w:rsidR="00593B88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En LVA, </w:t>
      </w:r>
      <w:r w:rsidR="005F0B3E" w:rsidRPr="00073F49">
        <w:rPr>
          <w:rFonts w:ascii="Baskerville" w:hAnsi="Baskerville" w:cs="Baskerville"/>
        </w:rPr>
        <w:t xml:space="preserve"> l’année de Khâgne est l’extension </w:t>
      </w:r>
      <w:r w:rsidRPr="00073F49">
        <w:rPr>
          <w:rFonts w:ascii="Baskerville" w:hAnsi="Baskerville" w:cs="Baskerville"/>
        </w:rPr>
        <w:t>de l’année de Lettres supérieures,</w:t>
      </w:r>
      <w:r w:rsidR="005F0B3E" w:rsidRPr="00073F49">
        <w:rPr>
          <w:rFonts w:ascii="Baskerville" w:hAnsi="Baskerville" w:cs="Baskerville"/>
        </w:rPr>
        <w:t xml:space="preserve"> puisque l’épreuve de l’ENS consiste</w:t>
      </w:r>
      <w:r w:rsidRPr="00073F49">
        <w:rPr>
          <w:rFonts w:ascii="Baskerville" w:hAnsi="Baskerville" w:cs="Baskerville"/>
        </w:rPr>
        <w:t xml:space="preserve">, comme les CB de HK, </w:t>
      </w:r>
      <w:r w:rsidR="005F0B3E" w:rsidRPr="00073F49">
        <w:rPr>
          <w:rFonts w:ascii="Baskerville" w:hAnsi="Baskerville" w:cs="Baskerville"/>
        </w:rPr>
        <w:t xml:space="preserve">en un commentaire de texte littéraire en russe et </w:t>
      </w:r>
      <w:r w:rsidRPr="00073F49">
        <w:rPr>
          <w:rFonts w:ascii="Baskerville" w:hAnsi="Baskerville" w:cs="Baskerville"/>
        </w:rPr>
        <w:t xml:space="preserve">en </w:t>
      </w:r>
      <w:r w:rsidR="005F0B3E" w:rsidRPr="00073F49">
        <w:rPr>
          <w:rFonts w:ascii="Baskerville" w:hAnsi="Baskerville" w:cs="Baskerville"/>
        </w:rPr>
        <w:t xml:space="preserve">une version </w:t>
      </w:r>
      <w:r w:rsidRPr="00073F49">
        <w:rPr>
          <w:rFonts w:ascii="Baskerville" w:hAnsi="Baskerville" w:cs="Baskerville"/>
        </w:rPr>
        <w:t xml:space="preserve">issue </w:t>
      </w:r>
      <w:r w:rsidR="005F0B3E" w:rsidRPr="00073F49">
        <w:rPr>
          <w:rFonts w:ascii="Baskerville" w:hAnsi="Baskerville" w:cs="Baskerville"/>
        </w:rPr>
        <w:t>du même texte.</w:t>
      </w:r>
    </w:p>
    <w:p w:rsidR="00593B88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L’épreuve dure 6h. </w:t>
      </w:r>
    </w:p>
    <w:p w:rsidR="00073F49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>Le dictionnaire unilingue est autorisé.</w:t>
      </w:r>
    </w:p>
    <w:p w:rsidR="00073F49" w:rsidRDefault="00073F49" w:rsidP="0053216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</w:p>
    <w:p w:rsidR="005F0B3E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>Les années précédentes, les sujets ont été les suivants :</w:t>
      </w:r>
    </w:p>
    <w:p w:rsidR="006F348F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</w:rPr>
        <w:t xml:space="preserve">2016 : </w:t>
      </w:r>
      <w:r w:rsidRPr="00073F49">
        <w:rPr>
          <w:rFonts w:ascii="Baskerville" w:hAnsi="Baskerville" w:cs="Baskerville"/>
          <w:lang w:val="en-US"/>
        </w:rPr>
        <w:t xml:space="preserve">И. Гончаров </w:t>
      </w:r>
      <w:r w:rsidR="00B233CF" w:rsidRPr="00073F49">
        <w:rPr>
          <w:rFonts w:ascii="Baskerville" w:hAnsi="Baskerville" w:cs="Baskerville"/>
          <w:lang w:val="en-US"/>
        </w:rPr>
        <w:t>–</w:t>
      </w:r>
      <w:r w:rsidRPr="00073F49">
        <w:rPr>
          <w:rFonts w:ascii="Baskerville" w:hAnsi="Baskerville" w:cs="Baskerville"/>
          <w:lang w:val="en-US"/>
        </w:rPr>
        <w:t xml:space="preserve"> </w:t>
      </w:r>
      <w:r w:rsidRPr="00073F49">
        <w:rPr>
          <w:rFonts w:ascii="Baskerville" w:hAnsi="Baskerville" w:cs="Baskerville"/>
          <w:i/>
          <w:lang w:val="en-US"/>
        </w:rPr>
        <w:t>Обломов</w:t>
      </w:r>
      <w:r w:rsidR="00B233CF" w:rsidRPr="00073F49">
        <w:rPr>
          <w:rFonts w:ascii="Baskerville" w:hAnsi="Baskerville" w:cs="Baskerville"/>
          <w:i/>
          <w:lang w:val="en-US"/>
        </w:rPr>
        <w:t xml:space="preserve"> </w:t>
      </w:r>
      <w:r w:rsidR="00B233CF" w:rsidRPr="00073F49">
        <w:rPr>
          <w:rFonts w:ascii="Baskerville" w:hAnsi="Baskerville" w:cs="Baskerville"/>
          <w:lang w:val="en-US"/>
        </w:rPr>
        <w:t>(1859)</w:t>
      </w:r>
    </w:p>
    <w:p w:rsidR="006F348F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2015 : В. Гроссман – </w:t>
      </w:r>
      <w:r w:rsidRPr="00073F49">
        <w:rPr>
          <w:rFonts w:ascii="Baskerville" w:hAnsi="Baskerville" w:cs="Baskerville"/>
          <w:i/>
          <w:lang w:val="en-US"/>
        </w:rPr>
        <w:t>Жизнь и судьба</w:t>
      </w:r>
      <w:r w:rsidR="00B80208" w:rsidRPr="00073F49">
        <w:rPr>
          <w:rFonts w:ascii="Baskerville" w:hAnsi="Baskerville" w:cs="Baskerville"/>
          <w:lang w:val="en-US"/>
        </w:rPr>
        <w:t xml:space="preserve"> (1950</w:t>
      </w:r>
      <w:r w:rsidR="00B233CF" w:rsidRPr="00073F49">
        <w:rPr>
          <w:rFonts w:ascii="Baskerville" w:hAnsi="Baskerville" w:cs="Baskerville"/>
          <w:lang w:val="en-US"/>
        </w:rPr>
        <w:t>)</w:t>
      </w:r>
    </w:p>
    <w:p w:rsidR="006F348F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2014 : Ф. Достоевский – </w:t>
      </w:r>
      <w:r w:rsidRPr="00073F49">
        <w:rPr>
          <w:rFonts w:ascii="Baskerville" w:hAnsi="Baskerville" w:cs="Baskerville"/>
          <w:i/>
          <w:lang w:val="en-US"/>
        </w:rPr>
        <w:t>Братья Карамазовы</w:t>
      </w:r>
      <w:r w:rsidR="00B233CF" w:rsidRPr="00073F49">
        <w:rPr>
          <w:rFonts w:ascii="Baskerville" w:hAnsi="Baskerville" w:cs="Baskerville"/>
          <w:lang w:val="en-US"/>
        </w:rPr>
        <w:t xml:space="preserve"> (1880)</w:t>
      </w:r>
    </w:p>
    <w:p w:rsidR="006F348F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2013 : </w:t>
      </w:r>
      <w:r w:rsidR="00B233CF" w:rsidRPr="00073F49">
        <w:rPr>
          <w:rFonts w:ascii="Baskerville" w:hAnsi="Baskerville" w:cs="Baskerville"/>
          <w:lang w:val="en-US"/>
        </w:rPr>
        <w:t xml:space="preserve">Л. Толстой – </w:t>
      </w:r>
      <w:r w:rsidR="00B233CF" w:rsidRPr="00073F49">
        <w:rPr>
          <w:rFonts w:ascii="Baskerville" w:hAnsi="Baskerville" w:cs="Baskerville"/>
          <w:i/>
          <w:lang w:val="en-US"/>
        </w:rPr>
        <w:t>Анна Каренина</w:t>
      </w:r>
      <w:r w:rsidR="00B233CF" w:rsidRPr="00073F49">
        <w:rPr>
          <w:rFonts w:ascii="Baskerville" w:hAnsi="Baskerville" w:cs="Baskerville"/>
          <w:lang w:val="en-US"/>
        </w:rPr>
        <w:t xml:space="preserve"> (1877)</w:t>
      </w:r>
    </w:p>
    <w:p w:rsidR="00B80208" w:rsidRPr="00073F49" w:rsidRDefault="00B80208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2011 : Ильф и Петров – </w:t>
      </w:r>
      <w:r w:rsidRPr="00073F49">
        <w:rPr>
          <w:rFonts w:ascii="Baskerville" w:hAnsi="Baskerville" w:cs="Baskerville"/>
          <w:i/>
          <w:lang w:val="en-US"/>
        </w:rPr>
        <w:t>Двенадцать стульев</w:t>
      </w:r>
      <w:r w:rsidRPr="00073F49">
        <w:rPr>
          <w:rFonts w:ascii="Baskerville" w:hAnsi="Baskerville" w:cs="Baskerville"/>
          <w:lang w:val="en-US"/>
        </w:rPr>
        <w:t xml:space="preserve"> (1927)</w:t>
      </w:r>
    </w:p>
    <w:p w:rsidR="00B80208" w:rsidRPr="00073F49" w:rsidRDefault="00B80208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2010 : И. Тургенев – </w:t>
      </w:r>
      <w:r w:rsidRPr="00073F49">
        <w:rPr>
          <w:rFonts w:ascii="Baskerville" w:hAnsi="Baskerville" w:cs="Baskerville"/>
          <w:i/>
          <w:lang w:val="en-US"/>
        </w:rPr>
        <w:t>Отцы и дети</w:t>
      </w:r>
      <w:r w:rsidRPr="00073F49">
        <w:rPr>
          <w:rFonts w:ascii="Baskerville" w:hAnsi="Baskerville" w:cs="Baskerville"/>
          <w:lang w:val="en-US"/>
        </w:rPr>
        <w:t xml:space="preserve"> (1862)</w:t>
      </w:r>
    </w:p>
    <w:p w:rsidR="00593B88" w:rsidRPr="00073F49" w:rsidRDefault="00B80208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2009 : А.Чехов – </w:t>
      </w:r>
      <w:r w:rsidRPr="00073F49">
        <w:rPr>
          <w:rFonts w:ascii="Baskerville" w:hAnsi="Baskerville" w:cs="Baskerville"/>
          <w:i/>
          <w:lang w:val="en-US"/>
        </w:rPr>
        <w:t>Мужики</w:t>
      </w:r>
      <w:r w:rsidRPr="00073F49">
        <w:rPr>
          <w:rFonts w:ascii="Baskerville" w:hAnsi="Baskerville" w:cs="Baskerville"/>
          <w:lang w:val="en-US"/>
        </w:rPr>
        <w:t xml:space="preserve"> (1897)</w:t>
      </w:r>
    </w:p>
    <w:p w:rsidR="00073F49" w:rsidRPr="00073F49" w:rsidRDefault="00073F49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</w:p>
    <w:p w:rsidR="00593B88" w:rsidRPr="00073F49" w:rsidRDefault="00593B88" w:rsidP="00593B88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>L’enseignement de l’année de HK doit être bien sûr assimilé ; il faut revoir les corrections d’analyses et de commentaires de textes, avoir acquis parfaitement le vocabulaire de l’analyse de texte ( lexique distribué)</w:t>
      </w:r>
      <w:r w:rsidR="00073F49" w:rsidRPr="00073F49">
        <w:rPr>
          <w:rFonts w:ascii="Baskerville" w:hAnsi="Baskerville" w:cs="Baskerville"/>
        </w:rPr>
        <w:t>.</w:t>
      </w:r>
    </w:p>
    <w:p w:rsidR="00073F49" w:rsidRPr="00073F49" w:rsidRDefault="00073F49" w:rsidP="00593B88">
      <w:pPr>
        <w:spacing w:after="0" w:line="240" w:lineRule="auto"/>
        <w:jc w:val="both"/>
        <w:rPr>
          <w:rFonts w:ascii="Baskerville" w:hAnsi="Baskerville" w:cs="Baskerville"/>
        </w:rPr>
      </w:pPr>
    </w:p>
    <w:p w:rsidR="00C336CC" w:rsidRPr="00073F49" w:rsidRDefault="00593B88" w:rsidP="00C336CC">
      <w:pPr>
        <w:pStyle w:val="Paragraphedeliste"/>
        <w:spacing w:after="0"/>
        <w:ind w:left="0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Аfin </w:t>
      </w:r>
      <w:r w:rsidR="00C336CC" w:rsidRPr="00073F49">
        <w:rPr>
          <w:rFonts w:ascii="Baskerville" w:hAnsi="Baskerville" w:cs="Baskerville"/>
        </w:rPr>
        <w:t>d’acquérir</w:t>
      </w:r>
      <w:r w:rsidRPr="00073F49">
        <w:rPr>
          <w:rFonts w:ascii="Baskerville" w:hAnsi="Baskerville" w:cs="Baskerville"/>
        </w:rPr>
        <w:t xml:space="preserve"> la maîtrise de l’exercice de commentaire, on lira </w:t>
      </w:r>
      <w:r w:rsidR="00C336CC" w:rsidRPr="00073F49">
        <w:rPr>
          <w:rFonts w:ascii="Baskerville" w:hAnsi="Baskerville" w:cs="Baskerville"/>
        </w:rPr>
        <w:t>avant la rentrée:</w:t>
      </w:r>
    </w:p>
    <w:p w:rsidR="00532166" w:rsidRPr="00073F49" w:rsidRDefault="00593B88" w:rsidP="00C336CC">
      <w:pPr>
        <w:pStyle w:val="Paragraphedeliste"/>
        <w:numPr>
          <w:ilvl w:val="0"/>
          <w:numId w:val="1"/>
        </w:numPr>
        <w:spacing w:after="0"/>
        <w:rPr>
          <w:rFonts w:ascii="Baskerville" w:hAnsi="Baskerville" w:cs="Baskerville"/>
        </w:rPr>
      </w:pPr>
      <w:r w:rsidRPr="00073F49">
        <w:rPr>
          <w:rFonts w:ascii="Baskerville" w:hAnsi="Baskerville" w:cs="Baskerville"/>
          <w:i/>
          <w:lang w:val="en-US"/>
        </w:rPr>
        <w:t xml:space="preserve">“Как сделана “Шинель” Гоголя” </w:t>
      </w:r>
      <w:r w:rsidRPr="00073F49">
        <w:rPr>
          <w:rFonts w:ascii="Baskerville" w:hAnsi="Baskerville" w:cs="Baskerville"/>
          <w:i/>
        </w:rPr>
        <w:t xml:space="preserve">du formaliste </w:t>
      </w:r>
      <w:r w:rsidRPr="00073F49">
        <w:rPr>
          <w:rFonts w:ascii="Baskerville" w:hAnsi="Baskerville" w:cs="Baskerville"/>
          <w:i/>
          <w:lang w:val="en-US"/>
        </w:rPr>
        <w:t>Б. Эйхенбаум</w:t>
      </w:r>
      <w:r w:rsidR="00C336CC" w:rsidRPr="00073F49">
        <w:rPr>
          <w:rFonts w:ascii="Baskerville" w:hAnsi="Baskerville" w:cs="Baskerville"/>
          <w:lang w:val="en-US"/>
        </w:rPr>
        <w:t xml:space="preserve"> </w:t>
      </w:r>
      <w:r w:rsidR="00C336CC" w:rsidRPr="00073F49">
        <w:rPr>
          <w:rFonts w:ascii="Baskerville" w:hAnsi="Baskerville" w:cs="Baskerville"/>
          <w:i/>
          <w:lang w:val="en-US"/>
        </w:rPr>
        <w:t>(1918)</w:t>
      </w:r>
      <w:r w:rsidR="00C336CC" w:rsidRPr="00073F49">
        <w:rPr>
          <w:rFonts w:ascii="Baskerville" w:hAnsi="Baskerville" w:cs="Baskerville"/>
          <w:lang w:val="en-US"/>
        </w:rPr>
        <w:t xml:space="preserve">: </w:t>
      </w:r>
      <w:r w:rsidRPr="00073F49">
        <w:rPr>
          <w:rFonts w:ascii="Baskerville" w:hAnsi="Baskerville" w:cs="Baskerville"/>
          <w:lang w:val="en-US"/>
        </w:rPr>
        <w:t xml:space="preserve"> </w:t>
      </w:r>
      <w:hyperlink r:id="rId6" w:history="1">
        <w:r w:rsidR="00C336CC" w:rsidRPr="00073F49">
          <w:rPr>
            <w:rStyle w:val="Lienhypertexte"/>
            <w:rFonts w:ascii="Baskerville" w:hAnsi="Baskerville" w:cs="Baskerville"/>
          </w:rPr>
          <w:t>http://www.opojaz.ru/manifests/kaksdelana.html</w:t>
        </w:r>
      </w:hyperlink>
    </w:p>
    <w:p w:rsidR="00C336CC" w:rsidRPr="00073F49" w:rsidRDefault="00C336CC" w:rsidP="00C336CC">
      <w:pPr>
        <w:pStyle w:val="Paragraphedeliste"/>
        <w:spacing w:after="0"/>
        <w:ind w:left="0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>en se constituant, lors d’une lecture active, un lexique d’analyse.</w:t>
      </w:r>
    </w:p>
    <w:p w:rsidR="00C336CC" w:rsidRPr="00073F49" w:rsidRDefault="00C336CC" w:rsidP="00C336CC">
      <w:pPr>
        <w:pStyle w:val="Paragraphedeliste"/>
        <w:numPr>
          <w:ilvl w:val="0"/>
          <w:numId w:val="1"/>
        </w:numPr>
        <w:spacing w:after="0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  <w:i/>
        </w:rPr>
        <w:t xml:space="preserve">Lire les textes russes, </w:t>
      </w:r>
      <w:r w:rsidRPr="00073F49">
        <w:rPr>
          <w:rFonts w:ascii="Baskerville" w:hAnsi="Baskerville" w:cs="Baskerville"/>
        </w:rPr>
        <w:t>S. Viellard, PUF 2002 (en français mais avec corpus et mots-clés en russe)</w:t>
      </w:r>
    </w:p>
    <w:p w:rsidR="00C336CC" w:rsidRPr="00073F49" w:rsidRDefault="00C336CC" w:rsidP="00C336CC">
      <w:pPr>
        <w:spacing w:after="0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  <w:i/>
        </w:rPr>
        <w:t>Les repères en histoire littéraire serotn consolidés grâce à :</w:t>
      </w:r>
    </w:p>
    <w:p w:rsidR="00C336CC" w:rsidRPr="00073F49" w:rsidRDefault="00C336CC" w:rsidP="00C336CC">
      <w:pPr>
        <w:pStyle w:val="Paragraphedeliste"/>
        <w:numPr>
          <w:ilvl w:val="0"/>
          <w:numId w:val="1"/>
        </w:numPr>
        <w:spacing w:after="0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  <w:i/>
        </w:rPr>
        <w:t xml:space="preserve">Histoire de la littérature russe </w:t>
      </w:r>
      <w:r w:rsidRPr="00073F49">
        <w:rPr>
          <w:rFonts w:ascii="Baskerville" w:hAnsi="Baskerville" w:cs="Baskerville"/>
        </w:rPr>
        <w:t>de D. Mirsky, Fayard (22</w:t>
      </w:r>
      <w:r w:rsidRPr="00073F49">
        <w:rPr>
          <w:rFonts w:ascii="Baskerville" w:hAnsi="Baskerville" w:cs="Baskerville"/>
          <w:vertAlign w:val="superscript"/>
        </w:rPr>
        <w:t xml:space="preserve"> </w:t>
      </w:r>
      <w:r w:rsidRPr="00073F49">
        <w:rPr>
          <w:rFonts w:ascii="Baskerville" w:hAnsi="Baskerville" w:cs="Baskerville"/>
        </w:rPr>
        <w:t>eur. Amazone)</w:t>
      </w:r>
    </w:p>
    <w:p w:rsidR="00C336CC" w:rsidRPr="00073F49" w:rsidRDefault="00C336CC" w:rsidP="00C336CC">
      <w:pPr>
        <w:pStyle w:val="Paragraphedeliste"/>
        <w:numPr>
          <w:ilvl w:val="0"/>
          <w:numId w:val="1"/>
        </w:numPr>
        <w:spacing w:after="0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  <w:i/>
        </w:rPr>
        <w:t xml:space="preserve">Littérature russe – </w:t>
      </w:r>
      <w:r w:rsidRPr="00073F49">
        <w:rPr>
          <w:rFonts w:ascii="Baskerville" w:hAnsi="Baskerville" w:cs="Baskerville"/>
        </w:rPr>
        <w:t>J. Bonamour (6,50 sur Kindle)</w:t>
      </w:r>
    </w:p>
    <w:p w:rsidR="00C336CC" w:rsidRPr="00073F49" w:rsidRDefault="00C336CC" w:rsidP="00C336CC">
      <w:pPr>
        <w:spacing w:after="0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>Pour enrichir ses connaissances en culturologie, on lira</w:t>
      </w:r>
    </w:p>
    <w:p w:rsidR="00532166" w:rsidRPr="00073F49" w:rsidRDefault="00532166" w:rsidP="004913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i/>
          <w:lang w:val="en-US"/>
        </w:rPr>
        <w:t>Atlas historique de la Russie</w:t>
      </w:r>
      <w:r w:rsidRPr="00073F49">
        <w:rPr>
          <w:rFonts w:ascii="Baskerville" w:hAnsi="Baskerville" w:cs="Baskerville"/>
          <w:lang w:val="en-US"/>
        </w:rPr>
        <w:t>, éd. Autrement</w:t>
      </w:r>
    </w:p>
    <w:p w:rsidR="00532166" w:rsidRPr="00073F49" w:rsidRDefault="00532166" w:rsidP="0053216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bCs/>
        </w:rPr>
      </w:pPr>
      <w:r w:rsidRPr="00073F49">
        <w:rPr>
          <w:rFonts w:ascii="Baskerville" w:hAnsi="Baskerville" w:cs="Baskerville"/>
          <w:bCs/>
          <w:lang w:val="en-US"/>
        </w:rPr>
        <w:t>(ou/et</w:t>
      </w:r>
      <w:r w:rsidRPr="00073F49">
        <w:rPr>
          <w:rFonts w:ascii="Baskerville" w:hAnsi="Baskerville" w:cs="Baskerville"/>
          <w:bCs/>
        </w:rPr>
        <w:t xml:space="preserve"> </w:t>
      </w:r>
      <w:r w:rsidRPr="00073F49">
        <w:rPr>
          <w:rFonts w:ascii="Baskerville" w:hAnsi="Baskerville" w:cs="Baskerville"/>
          <w:bCs/>
          <w:i/>
        </w:rPr>
        <w:t>De la Russie de Catherine II à la Russie d’aujourd’hui,</w:t>
      </w:r>
      <w:r w:rsidRPr="00073F49">
        <w:rPr>
          <w:rFonts w:ascii="Baskerville" w:hAnsi="Baskerville" w:cs="Baskerville"/>
          <w:bCs/>
        </w:rPr>
        <w:t xml:space="preserve"> éd. Ellipses)</w:t>
      </w:r>
    </w:p>
    <w:p w:rsidR="00532166" w:rsidRPr="00073F49" w:rsidRDefault="00532166" w:rsidP="00532166">
      <w:pPr>
        <w:spacing w:after="0"/>
        <w:jc w:val="both"/>
        <w:rPr>
          <w:rFonts w:ascii="Baskerville" w:hAnsi="Baskerville" w:cs="Baskerville"/>
          <w:lang w:val="en-US"/>
        </w:rPr>
      </w:pPr>
    </w:p>
    <w:p w:rsidR="00073F49" w:rsidRPr="00073F49" w:rsidRDefault="00073F49" w:rsidP="00532166">
      <w:pPr>
        <w:spacing w:after="0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En littérature, difficile d’arrêter une liste, mais, par profit et </w:t>
      </w:r>
      <w:bookmarkStart w:id="0" w:name="_GoBack"/>
      <w:bookmarkEnd w:id="0"/>
      <w:r w:rsidRPr="00073F49">
        <w:rPr>
          <w:rFonts w:ascii="Baskerville" w:hAnsi="Baskerville" w:cs="Baskerville"/>
          <w:lang w:val="en-US"/>
        </w:rPr>
        <w:t xml:space="preserve">plaisir, lire (en particulier les soulignés) : 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</w:p>
    <w:p w:rsidR="00532166" w:rsidRPr="00073F49" w:rsidRDefault="00532166" w:rsidP="0053216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</w:rPr>
        <w:t>Pouchkine :</w:t>
      </w:r>
      <w:r w:rsidRPr="00073F49">
        <w:rPr>
          <w:rFonts w:ascii="Baskerville" w:hAnsi="Baskerville" w:cs="Baskerville"/>
          <w:u w:val="single"/>
        </w:rPr>
        <w:t xml:space="preserve"> </w:t>
      </w:r>
      <w:r w:rsidRPr="00073F49">
        <w:rPr>
          <w:rFonts w:ascii="Baskerville" w:hAnsi="Baskerville" w:cs="Baskerville"/>
          <w:i/>
          <w:u w:val="single"/>
        </w:rPr>
        <w:t>La Dame de pique,</w:t>
      </w:r>
      <w:r w:rsidRPr="00073F49">
        <w:rPr>
          <w:rFonts w:ascii="Baskerville" w:hAnsi="Baskerville" w:cs="Baskerville"/>
          <w:i/>
        </w:rPr>
        <w:t xml:space="preserve"> Les récits de Bielkine, La fille du capitaine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N. Gogol : </w:t>
      </w:r>
      <w:r w:rsidRPr="00073F49">
        <w:rPr>
          <w:rFonts w:ascii="Baskerville" w:hAnsi="Baskerville" w:cs="Baskerville"/>
          <w:i/>
        </w:rPr>
        <w:t xml:space="preserve">Le nez, </w:t>
      </w:r>
      <w:r w:rsidRPr="00073F49">
        <w:rPr>
          <w:rFonts w:ascii="Baskerville" w:hAnsi="Baskerville" w:cs="Baskerville"/>
          <w:i/>
          <w:u w:val="single"/>
        </w:rPr>
        <w:t>Le manteau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</w:rPr>
        <w:t xml:space="preserve">F. Dostoievski : </w:t>
      </w:r>
      <w:r w:rsidRPr="00073F49">
        <w:rPr>
          <w:rFonts w:ascii="Baskerville" w:hAnsi="Baskerville" w:cs="Baskerville"/>
          <w:i/>
        </w:rPr>
        <w:t xml:space="preserve">Le </w:t>
      </w:r>
      <w:r w:rsidRPr="00073F49">
        <w:rPr>
          <w:rFonts w:ascii="Baskerville" w:hAnsi="Baskerville" w:cs="Baskerville"/>
          <w:i/>
          <w:u w:val="single"/>
        </w:rPr>
        <w:t>joueur,</w:t>
      </w:r>
      <w:r w:rsidRPr="00073F49">
        <w:rPr>
          <w:rFonts w:ascii="Baskerville" w:hAnsi="Baskerville" w:cs="Baskerville"/>
          <w:i/>
        </w:rPr>
        <w:t xml:space="preserve"> L’idiot, Les frères Karamazov</w:t>
      </w:r>
    </w:p>
    <w:p w:rsidR="00073F49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L. Tolstoï : </w:t>
      </w:r>
      <w:r w:rsidRPr="00073F49">
        <w:rPr>
          <w:rFonts w:ascii="Baskerville" w:hAnsi="Baskerville" w:cs="Baskerville"/>
          <w:i/>
        </w:rPr>
        <w:t>Anna Karénine, Guerre et paix</w:t>
      </w:r>
    </w:p>
    <w:p w:rsidR="00073F49" w:rsidRPr="00073F49" w:rsidRDefault="00073F49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I. Gontcharov : </w:t>
      </w:r>
      <w:r w:rsidRPr="00073F49">
        <w:rPr>
          <w:rFonts w:ascii="Baskerville" w:hAnsi="Baskerville" w:cs="Baskerville"/>
          <w:i/>
          <w:u w:val="single"/>
        </w:rPr>
        <w:t>Oblomov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  <w:u w:val="single"/>
        </w:rPr>
      </w:pPr>
      <w:r w:rsidRPr="00073F49">
        <w:rPr>
          <w:rFonts w:ascii="Baskerville" w:hAnsi="Baskerville" w:cs="Baskerville"/>
        </w:rPr>
        <w:t>M. Gorki :</w:t>
      </w:r>
      <w:r w:rsidRPr="00073F49">
        <w:rPr>
          <w:rFonts w:ascii="Baskerville" w:hAnsi="Baskerville" w:cs="Baskerville"/>
          <w:u w:val="single"/>
        </w:rPr>
        <w:t xml:space="preserve"> </w:t>
      </w:r>
      <w:r w:rsidRPr="00073F49">
        <w:rPr>
          <w:rFonts w:ascii="Baskerville" w:hAnsi="Baskerville" w:cs="Baskerville"/>
          <w:i/>
          <w:u w:val="single"/>
        </w:rPr>
        <w:t>Enfance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I. Bounine : </w:t>
      </w:r>
      <w:r w:rsidRPr="00073F49">
        <w:rPr>
          <w:rFonts w:ascii="Baskerville" w:hAnsi="Baskerville" w:cs="Baskerville"/>
          <w:i/>
        </w:rPr>
        <w:t>Les allées sombres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V. Nabokov : </w:t>
      </w:r>
      <w:r w:rsidRPr="00073F49">
        <w:rPr>
          <w:rFonts w:ascii="Baskerville" w:hAnsi="Baskerville" w:cs="Baskerville"/>
          <w:i/>
          <w:u w:val="single"/>
        </w:rPr>
        <w:t>Autres rivages,</w:t>
      </w:r>
      <w:r w:rsidRPr="00073F49">
        <w:rPr>
          <w:rFonts w:ascii="Baskerville" w:hAnsi="Baskerville" w:cs="Baskerville"/>
          <w:i/>
        </w:rPr>
        <w:t xml:space="preserve"> La défense Loujine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</w:rPr>
        <w:t xml:space="preserve">I. Pasternak : </w:t>
      </w:r>
      <w:r w:rsidRPr="00073F49">
        <w:rPr>
          <w:rFonts w:ascii="Baskerville" w:hAnsi="Baskerville" w:cs="Baskerville"/>
          <w:i/>
          <w:u w:val="single"/>
          <w:lang w:val="en-US"/>
        </w:rPr>
        <w:t>le Docteur Jivago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  <w:lang w:val="en-US"/>
        </w:rPr>
        <w:t xml:space="preserve">A. Soljenitsyne : </w:t>
      </w:r>
      <w:r w:rsidRPr="00073F49">
        <w:rPr>
          <w:rFonts w:ascii="Baskerville" w:hAnsi="Baskerville" w:cs="Baskerville"/>
          <w:i/>
        </w:rPr>
        <w:t>L’archipel du Goulag</w:t>
      </w:r>
      <w:r w:rsidRPr="00073F49">
        <w:rPr>
          <w:rFonts w:ascii="Baskerville" w:hAnsi="Baskerville" w:cs="Baskerville"/>
        </w:rPr>
        <w:t xml:space="preserve"> (version abrégée Points)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E. Zamiatine : </w:t>
      </w:r>
      <w:r w:rsidRPr="00073F49">
        <w:rPr>
          <w:rFonts w:ascii="Baskerville" w:hAnsi="Baskerville" w:cs="Baskerville"/>
          <w:i/>
          <w:u w:val="single"/>
        </w:rPr>
        <w:t>Nous autres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L. Oulitskaïa : </w:t>
      </w:r>
      <w:r w:rsidRPr="00073F49">
        <w:rPr>
          <w:rFonts w:ascii="Baskerville" w:hAnsi="Baskerville" w:cs="Baskerville"/>
          <w:i/>
          <w:u w:val="single"/>
        </w:rPr>
        <w:t>Sonetchka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E . Carrère : </w:t>
      </w:r>
      <w:r w:rsidRPr="00073F49">
        <w:rPr>
          <w:rFonts w:ascii="Baskerville" w:hAnsi="Baskerville" w:cs="Baskerville"/>
          <w:i/>
        </w:rPr>
        <w:t xml:space="preserve">Limonov </w:t>
      </w:r>
    </w:p>
    <w:p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S. Aleksiévitch : </w:t>
      </w:r>
      <w:r w:rsidRPr="00073F49">
        <w:rPr>
          <w:rFonts w:ascii="Baskerville" w:hAnsi="Baskerville" w:cs="Baskerville"/>
          <w:i/>
        </w:rPr>
        <w:t>La fin de l’homme rouge</w:t>
      </w:r>
    </w:p>
    <w:p w:rsidR="00073F49" w:rsidRDefault="00532166" w:rsidP="00532166">
      <w:pPr>
        <w:spacing w:after="0" w:line="240" w:lineRule="auto"/>
        <w:jc w:val="both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</w:rPr>
        <w:t xml:space="preserve">S. Tesson : </w:t>
      </w:r>
      <w:r w:rsidRPr="00073F49">
        <w:rPr>
          <w:rFonts w:ascii="Baskerville" w:hAnsi="Baskerville" w:cs="Baskerville"/>
          <w:i/>
        </w:rPr>
        <w:t>Borodino</w:t>
      </w:r>
    </w:p>
    <w:p w:rsidR="00073F49" w:rsidRPr="00073F49" w:rsidRDefault="00073F49" w:rsidP="00532166">
      <w:pPr>
        <w:spacing w:after="0" w:line="240" w:lineRule="auto"/>
        <w:jc w:val="both"/>
        <w:rPr>
          <w:rFonts w:ascii="Baskerville" w:hAnsi="Baskerville" w:cs="Baskerville"/>
          <w:i/>
        </w:rPr>
      </w:pPr>
    </w:p>
    <w:p w:rsidR="00073F49" w:rsidRPr="00073F49" w:rsidRDefault="00532166" w:rsidP="00073F49">
      <w:pPr>
        <w:pStyle w:val="Paragraphedeliste"/>
        <w:spacing w:after="0" w:line="240" w:lineRule="auto"/>
        <w:ind w:left="0"/>
        <w:jc w:val="both"/>
      </w:pPr>
      <w:r w:rsidRPr="00073F49">
        <w:rPr>
          <w:rFonts w:ascii="Baskerville" w:hAnsi="Baskerville" w:cs="Baskerville"/>
        </w:rPr>
        <w:t xml:space="preserve">Dictionnaire : </w:t>
      </w:r>
      <w:r w:rsidR="00073F49" w:rsidRPr="00073F49">
        <w:rPr>
          <w:rFonts w:ascii="Baskerville" w:hAnsi="Baskerville" w:cs="Baskerville"/>
          <w:lang w:val="en-US"/>
        </w:rPr>
        <w:t>Ожегов (</w:t>
      </w:r>
      <w:r w:rsidR="00073F49" w:rsidRPr="00073F49">
        <w:rPr>
          <w:rFonts w:ascii="Baskerville" w:hAnsi="Baskerville" w:cs="Baskerville"/>
        </w:rPr>
        <w:t>pour les épreuves écrites)</w:t>
      </w:r>
    </w:p>
    <w:sectPr w:rsidR="00073F49" w:rsidRPr="00073F49" w:rsidSect="00073F49">
      <w:pgSz w:w="11900" w:h="16840"/>
      <w:pgMar w:top="454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2BBB"/>
    <w:multiLevelType w:val="hybridMultilevel"/>
    <w:tmpl w:val="D318D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E51EB0"/>
    <w:multiLevelType w:val="hybridMultilevel"/>
    <w:tmpl w:val="1480D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66"/>
    <w:rsid w:val="00073F49"/>
    <w:rsid w:val="004913A7"/>
    <w:rsid w:val="00532166"/>
    <w:rsid w:val="00593B88"/>
    <w:rsid w:val="005F0B3E"/>
    <w:rsid w:val="006432C8"/>
    <w:rsid w:val="006F348F"/>
    <w:rsid w:val="00B233CF"/>
    <w:rsid w:val="00B4024D"/>
    <w:rsid w:val="00B80208"/>
    <w:rsid w:val="00C336CC"/>
    <w:rsid w:val="00D372DE"/>
    <w:rsid w:val="00E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BE1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6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321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3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6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321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3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ojaz.ru/manifests/kaksdelan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418</Words>
  <Characters>2299</Characters>
  <Application>Microsoft Macintosh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nadine favre</cp:lastModifiedBy>
  <cp:revision>1</cp:revision>
  <dcterms:created xsi:type="dcterms:W3CDTF">2016-06-20T08:55:00Z</dcterms:created>
  <dcterms:modified xsi:type="dcterms:W3CDTF">2016-06-20T13:08:00Z</dcterms:modified>
</cp:coreProperties>
</file>